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b/>
          <w:bCs/>
          <w:sz w:val="30"/>
          <w:szCs w:val="30"/>
        </w:rPr>
      </w:pPr>
      <w:r>
        <w:rPr>
          <w:rFonts w:hint="eastAsia" w:ascii="宋体" w:hAnsi="宋体" w:cs="仿宋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cs="仿宋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仿宋"/>
          <w:b/>
          <w:bCs/>
          <w:kern w:val="0"/>
          <w:sz w:val="30"/>
          <w:szCs w:val="30"/>
        </w:rPr>
        <w:t>：</w:t>
      </w:r>
      <w:r>
        <w:rPr>
          <w:rFonts w:hint="eastAsia"/>
          <w:b/>
          <w:bCs/>
          <w:sz w:val="30"/>
          <w:szCs w:val="30"/>
        </w:rPr>
        <w:t>南昌大学第十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届大学生化学实验竞赛初赛评分标准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532"/>
        <w:gridCol w:w="92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评分项目</w:t>
            </w:r>
          </w:p>
        </w:tc>
        <w:tc>
          <w:tcPr>
            <w:tcW w:w="5532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评分细则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分值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实验目的性</w:t>
            </w:r>
          </w:p>
        </w:tc>
        <w:tc>
          <w:tcPr>
            <w:tcW w:w="5532" w:type="dxa"/>
            <w:vAlign w:val="center"/>
          </w:tcPr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准确、简练地表述实验设计目的，具有一定的社会，科研或教学意义。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实验科学性</w:t>
            </w:r>
          </w:p>
        </w:tc>
        <w:tc>
          <w:tcPr>
            <w:tcW w:w="5532" w:type="dxa"/>
            <w:vAlign w:val="center"/>
          </w:tcPr>
          <w:p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1.</w:t>
            </w:r>
            <w:r>
              <w:rPr>
                <w:rFonts w:hint="eastAsia"/>
                <w:bCs/>
                <w:sz w:val="26"/>
                <w:szCs w:val="28"/>
              </w:rPr>
              <w:t>实验原理简单，准确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5532" w:type="dxa"/>
            <w:vAlign w:val="center"/>
          </w:tcPr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2.</w:t>
            </w:r>
            <w:r>
              <w:rPr>
                <w:rFonts w:hint="eastAsia"/>
                <w:bCs/>
                <w:sz w:val="26"/>
                <w:szCs w:val="28"/>
              </w:rPr>
              <w:t>实验方法合理，图表相辅，实验数据翔实可靠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实验操作性</w:t>
            </w:r>
          </w:p>
        </w:tc>
        <w:tc>
          <w:tcPr>
            <w:tcW w:w="5532" w:type="dxa"/>
            <w:vAlign w:val="center"/>
          </w:tcPr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实验可操作性强；</w:t>
            </w:r>
          </w:p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所用仪器和试剂为实验室常规，或容易购买；</w:t>
            </w:r>
          </w:p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实验操作耗时控制在</w:t>
            </w:r>
            <w:r>
              <w:rPr>
                <w:bCs/>
                <w:sz w:val="26"/>
                <w:szCs w:val="28"/>
              </w:rPr>
              <w:t>2-4</w:t>
            </w:r>
            <w:r>
              <w:rPr>
                <w:rFonts w:hint="eastAsia"/>
                <w:bCs/>
                <w:sz w:val="26"/>
                <w:szCs w:val="28"/>
              </w:rPr>
              <w:t>小时为最佳。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3</w:t>
            </w: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实验安全性</w:t>
            </w:r>
          </w:p>
        </w:tc>
        <w:tc>
          <w:tcPr>
            <w:tcW w:w="5532" w:type="dxa"/>
            <w:vAlign w:val="center"/>
          </w:tcPr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实验方案符合环保标准；</w:t>
            </w:r>
          </w:p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能指出实验可能出现的危险和出现危险时的应对措施，并具备相应的防范措施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10</w:t>
            </w:r>
          </w:p>
        </w:tc>
        <w:tc>
          <w:tcPr>
            <w:tcW w:w="922" w:type="dxa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实验创新性</w:t>
            </w:r>
          </w:p>
        </w:tc>
        <w:tc>
          <w:tcPr>
            <w:tcW w:w="5532" w:type="dxa"/>
            <w:vAlign w:val="center"/>
          </w:tcPr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1、实验原理科学、可行，符合化学实验改革要求。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3</w:t>
            </w:r>
            <w:r>
              <w:rPr>
                <w:bCs/>
                <w:sz w:val="26"/>
                <w:szCs w:val="28"/>
              </w:rPr>
              <w:t>0</w:t>
            </w:r>
          </w:p>
        </w:tc>
        <w:tc>
          <w:tcPr>
            <w:tcW w:w="922" w:type="dxa"/>
            <w:vMerge w:val="restart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5532" w:type="dxa"/>
            <w:vAlign w:val="center"/>
          </w:tcPr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2、设计新颖、实用，充分修正原实验的不足之处，突出实验效果。</w:t>
            </w:r>
          </w:p>
        </w:tc>
        <w:tc>
          <w:tcPr>
            <w:tcW w:w="921" w:type="dxa"/>
            <w:vMerge w:val="continue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5532" w:type="dxa"/>
            <w:vAlign w:val="center"/>
          </w:tcPr>
          <w:p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3、实验装置较简单，操作方便。</w:t>
            </w:r>
          </w:p>
        </w:tc>
        <w:tc>
          <w:tcPr>
            <w:tcW w:w="921" w:type="dxa"/>
            <w:vMerge w:val="continue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bCs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实验推广性</w:t>
            </w:r>
          </w:p>
        </w:tc>
        <w:tc>
          <w:tcPr>
            <w:tcW w:w="5532" w:type="dxa"/>
            <w:vAlign w:val="center"/>
          </w:tcPr>
          <w:p>
            <w:pPr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实验设计易在高校化学实验教学中推广使用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10</w:t>
            </w:r>
          </w:p>
        </w:tc>
        <w:tc>
          <w:tcPr>
            <w:tcW w:w="922" w:type="dxa"/>
          </w:tcPr>
          <w:p>
            <w:pPr>
              <w:rPr>
                <w:bCs/>
                <w:sz w:val="26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cs="仿宋"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仿宋"/>
          <w:bCs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6C"/>
    <w:rsid w:val="001C1E09"/>
    <w:rsid w:val="00287EF9"/>
    <w:rsid w:val="002C5B07"/>
    <w:rsid w:val="009A3DBE"/>
    <w:rsid w:val="00A34DA0"/>
    <w:rsid w:val="00AA7D6C"/>
    <w:rsid w:val="0D7E73D2"/>
    <w:rsid w:val="216C7C03"/>
    <w:rsid w:val="4BEF23C7"/>
    <w:rsid w:val="512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cs="Times New Roman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 w:eastAsiaTheme="minorEastAsia"/>
      <w:kern w:val="0"/>
      <w:sz w:val="24"/>
      <w:szCs w:val="24"/>
    </w:rPr>
  </w:style>
  <w:style w:type="paragraph" w:customStyle="1" w:styleId="9">
    <w:name w:val="TOC Heading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2020-01-13T03:39:00Z</dcterms:created>
  <dc:creator>Li Peng</dc:creator>
  <cp:lastModifiedBy>Administrator</cp:lastModifiedBy>
  <dcterms:modified xsi:type="dcterms:W3CDTF">2021-03-08T02:18:59Z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